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2014 26 vom 7. August 2014</w:t>
      </w:r>
    </w:p>
    <w:p>
      <w:r>
        <w:t>GR Gerichte, 2014-08-07, DE</w:t>
      </w:r>
    </w:p>
    <w:p>
      <w:r>
        <w:rPr>
          <w:b/>
        </w:rPr>
        <w:t xml:space="preserve">Quelle: </w:t>
      </w:r>
      <w:r>
        <w:t>https://mcp.opencaselaw.ch/entscheid/gr_gerichte_SK2 2014 26</w:t>
      </w:r>
    </w:p>
    <w:p>
      <w:r>
        <w:t>FR: GR_GERICHTE SK2 2014 26 du 7 août 2014</w:t>
      </w:r>
    </w:p>
    <w:p>
      <w:r>
        <w:t>IT: GR_GERICHTE SK2 2014 26 del 7 agosto 2014</w:t>
      </w:r>
    </w:p>
    <w:p>
      <w:pPr>
        <w:pStyle w:val="Heading2"/>
      </w:pPr>
      <w:r>
        <w:t>Regeste</w:t>
      </w:r>
    </w:p>
    <w:p>
      <w:r>
        <w:t>Rechtsverweigerung/Rechtsverzögerung | Beschwerde gegen StA, Übrige Fälle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Beschwerdegegnerin sei anzuweisen, ihren Amtspflichten unver- züglich nachzukommen.</w:t>
      </w:r>
    </w:p>
    <w:p>
      <w:r>
        <w:rPr>
          <w:b/>
        </w:rPr>
        <w:t>E. 3</w:t>
      </w:r>
    </w:p>
    <w:p>
      <w:r>
        <w:t>Bei diesem Ausgang des Verfahrens gehen die Kosten des Beschwerde- verfahrens zu Lasten des Beschwerdeführers (Art. 428 Abs. 1 StPO). Gemäss Art.</w:t>
      </w:r>
    </w:p>
    <w:p>
      <w:r>
        <w:t>Seite 9 — 10</w:t>
      </w:r>
    </w:p>
    <w:p>
      <w:r>
        <w:rPr>
          <w:b/>
        </w:rPr>
        <w:t>E. 8</w:t>
      </w:r>
    </w:p>
    <w:p>
      <w:r>
        <w:t>der Verordnung über die Gerichtsgebühren im Strafverfahren (VGS; BR 350.210) beträgt der Gebührenrahmen in Beschwerdeverfahren Fr. 1‘000.-- bis Fr. 5‘000.--. Im vorliegenden Fall erscheint eine Gebühr von Fr. 1'500.-- als angemes- sen.</w:t>
      </w:r>
    </w:p>
    <w:p>
      <w:r>
        <w:t>Seite 10 — 10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